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AA42FC"/>
    <w:p w:rsidR="00AA42FC" w:rsidRDefault="00AA42FC" w:rsidP="00AA42FC">
      <w:pPr>
        <w:tabs>
          <w:tab w:val="left" w:pos="1134"/>
        </w:tabs>
      </w:pPr>
      <w:r>
        <w:tab/>
      </w:r>
    </w:p>
    <w:p w:rsidR="00AA42FC" w:rsidRPr="00AA42FC" w:rsidRDefault="00AA42FC" w:rsidP="00AA42FC">
      <w:pPr>
        <w:tabs>
          <w:tab w:val="left" w:pos="1134"/>
        </w:tabs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56 INTERNACIONAL CHORAL FESTIVAL BARCELONA 2021</w:t>
      </w:r>
    </w:p>
    <w:tbl>
      <w:tblPr>
        <w:tblW w:w="8850" w:type="dxa"/>
        <w:tblInd w:w="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0"/>
      </w:tblGrid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AA42FC" w:rsidRPr="00AA42F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06"/>
                              </w:tblGrid>
                              <w:tr w:rsidR="00AA42FC" w:rsidRPr="00AA42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cs-CZ"/>
                                      </w:rPr>
                                      <w:t xml:space="preserve">1) On Line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cs-CZ"/>
                                      </w:rPr>
                                      <w:t>International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cs-CZ"/>
                                      </w:rPr>
                                      <w:t xml:space="preserve"> Video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cs-CZ"/>
                                      </w:rPr>
                                      <w:t>Competition</w:t>
                                    </w:r>
                                    <w:proofErr w:type="spell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cs-CZ"/>
                                      </w:rPr>
                                      <w:t>RULES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amateur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conductor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professional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recording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: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-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religious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</w:t>
                                    </w:r>
                                    <w:proofErr w:type="spell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-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harmonized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popular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tradition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respective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country.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total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performing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time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two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has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minimum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5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minutes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maximum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10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minutes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One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two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cappella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other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cappella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accompanied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by a maximum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4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instruments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. A video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where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music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accompaniment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-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recorded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audio track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cannot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submitted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these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two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made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between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January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1, 2018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closing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period. Evidence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submitted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Recordings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may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previously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released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7.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own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scores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used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own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recording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rights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contrary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current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laws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perform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illegally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reproduced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music.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Organization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assumes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no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responsibility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legal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action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taken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by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publishers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8.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Videos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via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WeTransfer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MP4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AVI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format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Youtube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links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not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accepted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9.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performance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may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broadcast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live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streaming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network,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radio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TV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without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compensation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rights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broadcast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performances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during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Festival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belong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Organization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itself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which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able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dispose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freely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10.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request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competition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implies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acceptance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these </w:t>
                                    </w: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RULES.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CATEGORIES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Vocal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groups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(4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members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over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years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old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Children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's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youth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up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18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years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old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equal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voices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years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more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members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Mixed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years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more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members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choose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different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categories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with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maximum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three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),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performing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different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JURY</w:t>
                                    </w: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Andrea Angelini, Maria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Guinand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Daniel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Mestre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Montserrat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Rios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Bernat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Vivancos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with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support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FCEC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Board</w:t>
                                    </w:r>
                                    <w:proofErr w:type="spellEnd"/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Jury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evaluate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technical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interpretative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quality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decision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Jury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final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cannot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contested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AWARDS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winner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: € 1,000.00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Additional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prize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€ 1,000.00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performance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Catalan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author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harmonizer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</w:t>
                                    </w:r>
                                    <w:proofErr w:type="spell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diploma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registered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by e-mail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after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festival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streaming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broadcast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competition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with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(maximum 10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Prizes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may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left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empty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Ex-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aquo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prizes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awarded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-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which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case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prize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divided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among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those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who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share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REGISTRATION FEE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fee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€ 100.00 per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compete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one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second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third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category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€ 60.00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CALENDAR AND SELECTION PROCESS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Submission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deadline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April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1 to May 15.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together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with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videos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pdf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scores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brief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curriculum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photo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conductor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a link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's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website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reference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links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evidence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recording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Instructions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payment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given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after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confirmed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A42FC" w:rsidRPr="00AA42FC" w:rsidRDefault="00AA42FC" w:rsidP="00AA42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A42FC" w:rsidRPr="00AA42FC" w:rsidRDefault="00AA42FC" w:rsidP="00AA42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bookmarkStart w:id="0" w:name="m_952734460220462234_Layout_170"/>
                        <w:bookmarkEnd w:id="0"/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AA42FC" w:rsidRPr="00AA42F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AA42FC" w:rsidRPr="00AA42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82"/>
                                    </w:tblGrid>
                                    <w:tr w:rsidR="00AA42FC" w:rsidRPr="00AA42FC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80000"/>
                                          <w:tcMar>
                                            <w:top w:w="0" w:type="dxa"/>
                                            <w:left w:w="272" w:type="dxa"/>
                                            <w:bottom w:w="0" w:type="dxa"/>
                                            <w:right w:w="272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A42FC" w:rsidRPr="00AA42FC" w:rsidRDefault="00AA42FC" w:rsidP="00AA42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5"/>
                                              <w:szCs w:val="25"/>
                                              <w:lang w:eastAsia="cs-CZ"/>
                                            </w:rPr>
                                          </w:pPr>
                                          <w:hyperlink r:id="rId5" w:tgtFrame="_blank" w:history="1">
                                            <w:proofErr w:type="spellStart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>Competition</w:t>
                                            </w:r>
                                            <w:proofErr w:type="spellEnd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>Registration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42FC" w:rsidRPr="00AA42FC" w:rsidRDefault="00AA42FC" w:rsidP="00AA42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A42FC" w:rsidRPr="00AA42FC" w:rsidRDefault="00AA42FC" w:rsidP="00AA42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bookmarkStart w:id="1" w:name="m_952734460220462234_Layout_176"/>
                        <w:bookmarkEnd w:id="1"/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AA42FC" w:rsidRPr="00AA42F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06"/>
                              </w:tblGrid>
                              <w:tr w:rsidR="00AA42FC" w:rsidRPr="00AA42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2)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Choral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Concerts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Church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Santa</w:t>
                                    </w:r>
                                    <w:proofErr w:type="spellEnd"/>
                                    <w:proofErr w:type="gram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Maria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del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Pi</w:t>
                                    </w:r>
                                    <w:proofErr w:type="spell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Open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Catalan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foreign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Barcelona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during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Festival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dates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July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6, 7, 8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9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8 to 9:30 </w:t>
                                    </w:r>
                                    <w:proofErr w:type="spellStart"/>
                                    <w:proofErr w:type="gram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p.m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A maximum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take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part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each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concert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piano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available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concert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have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a maximum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duration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minutes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Concerts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free.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no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remuneration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choirs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A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selection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made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proposals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received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Programs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include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international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popular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repertoire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valued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Registration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deadline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April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30.</w:t>
                                    </w: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42FC" w:rsidRPr="00AA42FC" w:rsidRDefault="00AA42FC" w:rsidP="00AA42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A42FC" w:rsidRPr="00AA42FC" w:rsidRDefault="00AA42FC" w:rsidP="00AA42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bookmarkStart w:id="2" w:name="m_952734460220462234_Layout_177"/>
                        <w:bookmarkEnd w:id="2"/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AA42FC" w:rsidRPr="00AA42F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AA42FC" w:rsidRPr="00AA42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48"/>
                                    </w:tblGrid>
                                    <w:tr w:rsidR="00AA42FC" w:rsidRPr="00AA42FC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80000"/>
                                          <w:tcMar>
                                            <w:top w:w="0" w:type="dxa"/>
                                            <w:left w:w="272" w:type="dxa"/>
                                            <w:bottom w:w="0" w:type="dxa"/>
                                            <w:right w:w="272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A42FC" w:rsidRPr="00AA42FC" w:rsidRDefault="00AA42FC" w:rsidP="00AA42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5"/>
                                              <w:szCs w:val="25"/>
                                              <w:lang w:eastAsia="cs-CZ"/>
                                            </w:rPr>
                                          </w:pPr>
                                          <w:hyperlink r:id="rId6" w:tgtFrame="_blank" w:history="1">
                                            <w:proofErr w:type="spellStart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>Concerts</w:t>
                                            </w:r>
                                            <w:proofErr w:type="spellEnd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A42F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5"/>
                                                <w:lang w:eastAsia="cs-CZ"/>
                                              </w:rPr>
                                              <w:t>Registration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42FC" w:rsidRPr="00AA42FC" w:rsidRDefault="00AA42FC" w:rsidP="00AA42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A42FC" w:rsidRPr="00AA42FC" w:rsidRDefault="00AA42FC" w:rsidP="00AA42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bookmarkStart w:id="3" w:name="m_952734460220462234_Layout_173"/>
                        <w:bookmarkEnd w:id="3"/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AA42FC" w:rsidRPr="00AA42F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06"/>
                              </w:tblGrid>
                              <w:tr w:rsidR="00AA42FC" w:rsidRPr="00AA42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3)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Concerts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affiliated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Festival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Only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Catalonia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It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opens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possibility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that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concerts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held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territory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during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those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dates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join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festival.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proposals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received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will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evaluated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participate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send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email to </w:t>
                                    </w:r>
                                    <w:hyperlink r:id="rId7" w:tgtFrame="_blank" w:history="1">
                                      <w:r w:rsidRPr="00AA42FC">
                                        <w:rPr>
                                          <w:rFonts w:ascii="Arial" w:eastAsia="Times New Roman" w:hAnsi="Arial" w:cs="Arial"/>
                                          <w:color w:val="1155CC"/>
                                          <w:u w:val="single"/>
                                          <w:lang w:eastAsia="cs-CZ"/>
                                        </w:rPr>
                                        <w:t>fcec@fcec.cat</w:t>
                                      </w:r>
                                    </w:hyperlink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 informing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details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concert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Deadline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May 31.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4)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Workshops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Roundtables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every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afternoon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5 to 6 </w:t>
                                    </w:r>
                                    <w:proofErr w:type="spellStart"/>
                                    <w:proofErr w:type="gram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p.m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Workshops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instagram</w:t>
                                    </w:r>
                                    <w:proofErr w:type="spellEnd"/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July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5 – 7 – 9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workshops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confirmed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•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Round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>tables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  <w:t xml:space="preserve"> on Zoom</w:t>
                                    </w:r>
                                  </w:p>
                                  <w:p w:rsidR="00AA42FC" w:rsidRPr="00AA42FC" w:rsidRDefault="00AA42FC" w:rsidP="00AA42F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19"/>
                                        <w:szCs w:val="19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July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6 – 8 (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topic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be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confirmed</w:t>
                                    </w:r>
                                    <w:proofErr w:type="spellEnd"/>
                                    <w:r w:rsidRPr="00AA42F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eastAsia="cs-CZ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AA42FC" w:rsidRPr="00AA42FC" w:rsidRDefault="00AA42FC" w:rsidP="00AA42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A42FC" w:rsidRPr="00AA42FC" w:rsidRDefault="00AA42FC" w:rsidP="00AA42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AA42FC" w:rsidRPr="00AA42F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72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AA42FC" w:rsidRPr="00AA42FC" w:rsidTr="00AA42F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AA42FC" w:rsidRPr="00AA42FC" w:rsidTr="00AA42FC">
              <w:trPr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8850" w:type="dxa"/>
                    <w:jc w:val="center"/>
                    <w:shd w:val="clear" w:color="auto" w:fill="F9FAFC"/>
                    <w:tblCellMar>
                      <w:left w:w="272" w:type="dxa"/>
                      <w:right w:w="272" w:type="dxa"/>
                    </w:tblCellMar>
                    <w:tblLook w:val="04A0"/>
                  </w:tblPr>
                  <w:tblGrid>
                    <w:gridCol w:w="8850"/>
                  </w:tblGrid>
                  <w:tr w:rsidR="00AA42FC" w:rsidRPr="00AA42FC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14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bookmarkStart w:id="4" w:name="m_952734460220462234_Layout_8"/>
                        <w:bookmarkEnd w:id="4"/>
                        <w:r w:rsidRPr="00AA42FC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A42FC" w:rsidRPr="00AA42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vAlign w:val="center"/>
                        <w:hideMark/>
                      </w:tcPr>
                      <w:p w:rsidR="00AA42FC" w:rsidRPr="00AA42FC" w:rsidRDefault="00AA42FC" w:rsidP="00AA42F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</w:pP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Aquest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missatge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correu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electrònic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seus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documents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adjunts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estan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dirigits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exclusivament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als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destinataris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especificats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</w:t>
                        </w:r>
                        <w:proofErr w:type="gram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Si</w:t>
                        </w:r>
                        <w:proofErr w:type="gram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rebeu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aquest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missatge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per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error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si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us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plau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comuniqueu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-ho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immediatament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remitent 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esborreu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-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lo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ja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que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no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esteu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autoritzat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a l'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ús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revelació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distribució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impressió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còpia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tota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alguna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part de la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informació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continguda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Gràcies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conformitat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amb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la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Llei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Orgànica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Protecció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Caràcter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Personal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15/1999, li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recordem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que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les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seves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han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estat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incorporades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en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fitxer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'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Correu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electrònic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',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caràcter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personal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qual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és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titular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FEDERACIÓ CATALANA D'ENTITATS CORALS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Degudament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registrat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davant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l'AEPD 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que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tenen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com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finalitats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contacte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i la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gestió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amb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clients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/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proveïdors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comerç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electrònic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Mitjançant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present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escrit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autoritza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a FEDERACIÓ CATALANA D'ENTITATS CORALS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tractament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de les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seves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personals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Així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mateix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, l'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informem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que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les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seves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dades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no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seran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cedides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tercers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sense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consentiment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Pot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exercitar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seus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drets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d'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accés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rectificació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cancel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·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lació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oposició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Portabilitat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i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Limitació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del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Tractament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a FEDERACIÓ CATALANA D'ENTITATS CORALS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al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C / Via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Laietana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, 54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desp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. 213, 08003-Barcelona, ​​o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enviant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un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correu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>electrònic</w:t>
                        </w:r>
                        <w:proofErr w:type="spellEnd"/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t xml:space="preserve"> a: </w:t>
                        </w:r>
                        <w:hyperlink r:id="rId8" w:tgtFrame="_blank" w:history="1">
                          <w:r w:rsidRPr="00AA42FC">
                            <w:rPr>
                              <w:rFonts w:ascii="Arial" w:eastAsia="Times New Roman" w:hAnsi="Arial" w:cs="Arial"/>
                              <w:sz w:val="19"/>
                              <w:u w:val="single"/>
                              <w:lang w:eastAsia="cs-CZ"/>
                            </w:rPr>
                            <w:t>fcec@fcec.cat</w:t>
                          </w:r>
                        </w:hyperlink>
                      </w:p>
                      <w:p w:rsidR="00AA42FC" w:rsidRPr="00AA42FC" w:rsidRDefault="00AA42FC" w:rsidP="00AA42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cs-CZ"/>
                          </w:rPr>
                        </w:pPr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fldChar w:fldCharType="begin"/>
                        </w:r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instrText xml:space="preserve"> HYPERLINK "https://4kb6f.r.ag.d.sendibm3.com/mk/un/OihsND28mL7G_CdWfJmIi44UetyUCpu7k0stPaXRIKuSsynt5BFVWd8yFXs6edCXkMXFEufKAG_pxGu0Hrkb0oQ3zrfkG5lj2wqc1A-m8OuDungR5BIkmWzgfA8ym5HvxxWYBkfXYFg" \t "_blank" </w:instrText>
                        </w:r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fldChar w:fldCharType="separate"/>
                        </w:r>
                      </w:p>
                      <w:p w:rsidR="00AA42FC" w:rsidRPr="00AA42FC" w:rsidRDefault="00AA42FC" w:rsidP="00AA42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u w:val="single"/>
                            <w:lang w:eastAsia="cs-CZ"/>
                          </w:rPr>
                          <w:t>Pot exercitar els seus drets d'accés, rectificació, cancel·lació, oposició, Portabilitat i Limitació del Tractament, a FEDERACIÓ CATALANA D'ENTITATS CORALS al C / Via Laietana, 54 desp. 213, 08003-Barcelona, ​​o enviant un correu electrònic a: fcec@fcec.catt</w:t>
                        </w:r>
                      </w:p>
                      <w:p w:rsidR="00AA42FC" w:rsidRPr="00AA42FC" w:rsidRDefault="00AA42FC" w:rsidP="00AA42F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A42FC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cs-CZ"/>
                          </w:rPr>
                          <w:fldChar w:fldCharType="end"/>
                        </w:r>
                      </w:p>
                    </w:tc>
                  </w:tr>
                </w:tbl>
                <w:p w:rsidR="00AA42FC" w:rsidRPr="00AA42FC" w:rsidRDefault="00AA42FC" w:rsidP="00AA42F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42FC" w:rsidRPr="00AA42FC" w:rsidRDefault="00AA42FC" w:rsidP="00AA42FC">
            <w:pPr>
              <w:shd w:val="clear" w:color="auto" w:fill="F9FAFC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AA42FC" w:rsidRDefault="00AA42FC"/>
    <w:sectPr w:rsidR="00AA42FC" w:rsidSect="00CB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A42FC"/>
    <w:rsid w:val="000B0935"/>
    <w:rsid w:val="00AA42FC"/>
    <w:rsid w:val="00CB06EA"/>
    <w:rsid w:val="00E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42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ec@fce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ec@fcec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kb6f.r.ag.d.sendibm3.com/mk/cl/f/U1nxcxGQ8m00T7U-ZjpBokkbb4gkolMT28WIqBOKDueWHC7P2L2ndU3dCrX6ti_jXIqy5yKObnSM5bNnQRS_WE9Fut80UU7_AN1Lsw71FNfXj-uz2FEwwPgpmSd5qVkd2ufFCEertb5Y-LfZbpzsS_1B3m_LKdTEcbx-zZj7j5ID8aiQonnLI2ZYH9qOl2nbBjCTXt3UfrLSLCq_xdSvQBvdhevMj0ZYw-96Lg20HRFCs7dZyv8LD9Yl81679D2EVKtuk8ZLcXadaRa8kFvwQYPQvr51AEbeAKI1IZNk8Ph8C46an26bmEhtIbTSCoa6DglxhDWN" TargetMode="External"/><Relationship Id="rId5" Type="http://schemas.openxmlformats.org/officeDocument/2006/relationships/hyperlink" Target="https://4kb6f.r.ag.d.sendibm3.com/mk/cl/f/AAaz5OvlFoUpqj9XkU8jSx5VLhNXUoV0hPLmxYz2QBikcDg-D625H5hihN6pU2y0kILhzoXqYDgZQMZuXyZCh8vGed7h2LqkrDse-2sw_5jzCaDeLbgSUlWMPsnhCmw8V2cBAFBDCwv1R7k-R14HA266_tzB2EUonR24UBhUq5C3tnqBR9yceO4OS8cV_9T8tEvgDZnrMVHju1fhhO_XDZLjQRHp-JCerFrB-XwYFdfgICrLyaS6K1gDRm_OFTANWux5dI0mDxnihUl6hY6w1_GY43BZm3lkhXZUrvFyTzmlDxcgZS2Nu0D89Tdwoo7TMcSVrGO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D270-1248-4DDB-B74D-4EE073FD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2</cp:revision>
  <dcterms:created xsi:type="dcterms:W3CDTF">2021-03-31T16:00:00Z</dcterms:created>
  <dcterms:modified xsi:type="dcterms:W3CDTF">2021-03-31T16:06:00Z</dcterms:modified>
</cp:coreProperties>
</file>